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CA" w:rsidRDefault="009241CA" w:rsidP="009241CA">
      <w:pPr>
        <w:pStyle w:val="Heading1"/>
      </w:pPr>
      <w:bookmarkStart w:id="0" w:name="_GoBack"/>
      <w:bookmarkEnd w:id="0"/>
      <w:r>
        <w:t>Mandatory Legal Notice Pursuant to AIETAR Rule 22</w:t>
      </w:r>
    </w:p>
    <w:p w:rsidR="009241CA" w:rsidRDefault="009241CA" w:rsidP="009241CA">
      <w:pPr>
        <w:spacing w:before="80" w:after="80"/>
      </w:pPr>
      <w:r>
        <w:rPr>
          <w:i/>
          <w:iCs/>
        </w:rPr>
        <w:t>(To be appended to the foot of every issued Primary Adjudication Order)</w:t>
      </w:r>
    </w:p>
    <w:p w:rsidR="009241CA" w:rsidRDefault="009241CA" w:rsidP="009241CA">
      <w:pPr>
        <w:spacing w:before="80" w:after="80"/>
      </w:pPr>
    </w:p>
    <w:p w:rsidR="009241CA" w:rsidRDefault="009241CA" w:rsidP="009241CA">
      <w:pPr>
        <w:spacing w:before="80" w:after="80"/>
      </w:pPr>
      <w:r>
        <w:t>TAKE NOTICE that this determination constitutes a final administrative action of the primary Adjudication Tribunal under the structural terms of Rule 21.</w:t>
      </w:r>
    </w:p>
    <w:p w:rsidR="009241CA" w:rsidRDefault="009241CA" w:rsidP="009241CA">
      <w:pPr>
        <w:spacing w:before="80" w:after="80"/>
      </w:pPr>
    </w:p>
    <w:p w:rsidR="009241CA" w:rsidRDefault="009241CA" w:rsidP="009241CA">
      <w:pPr>
        <w:spacing w:before="80" w:after="80"/>
      </w:pPr>
      <w:r>
        <w:t>Parties are hereby notified of their subsequent procedural paths as mandated by Rule 22:</w:t>
      </w:r>
    </w:p>
    <w:p w:rsidR="009241CA" w:rsidRDefault="009241CA" w:rsidP="009241CA">
      <w:pPr>
        <w:pStyle w:val="ListParagraph"/>
        <w:numPr>
          <w:ilvl w:val="0"/>
          <w:numId w:val="1"/>
        </w:numPr>
        <w:spacing w:before="80" w:after="80"/>
      </w:pPr>
      <w:r>
        <w:t>In Pre-Election Nomination Disputes (Rule 14): You hold a strict right to file an application for internal supervisory review to the SRT under Rule 26 within 12 hours of this publication. The SRT will resolve all issues under Rule 28(1) by 23:59 hours on Day 10. In accordance with Section 9(2) of the Fair Administrative Action Act, 2015, this internal review mechanism must be fully exhausted before approaching the High Court, save in cases of genuine constitutional urgency under Article 22.</w:t>
      </w:r>
    </w:p>
    <w:p w:rsidR="009241CA" w:rsidRDefault="009241CA" w:rsidP="009241CA">
      <w:pPr>
        <w:pStyle w:val="ListParagraph"/>
        <w:numPr>
          <w:ilvl w:val="0"/>
          <w:numId w:val="1"/>
        </w:numPr>
        <w:spacing w:before="80" w:after="80"/>
      </w:pPr>
      <w:r>
        <w:t xml:space="preserve">In Presidential Petitions (Rule 16): No internal SRT review is available within the 14-day operational window of Rule 16. Any challenges regarding an </w:t>
      </w:r>
      <w:proofErr w:type="spellStart"/>
      <w:r>
        <w:t>uncurable</w:t>
      </w:r>
      <w:proofErr w:type="spellEnd"/>
      <w:r>
        <w:t xml:space="preserve"> breach of Article 47 must be escalated directly to the High Court under its supervisory jurisdiction within the 90-day window of Section 8 of the Act.</w:t>
      </w:r>
    </w:p>
    <w:p w:rsidR="009241CA" w:rsidRDefault="009241CA" w:rsidP="009241CA">
      <w:pPr>
        <w:pStyle w:val="ListParagraph"/>
        <w:numPr>
          <w:ilvl w:val="0"/>
          <w:numId w:val="1"/>
        </w:numPr>
        <w:spacing w:before="80" w:after="80"/>
      </w:pPr>
      <w:r>
        <w:t>In Standard Post-Election Petitions (Rule 15): You hold a right to file an application for internal supervisory review to the SRT under Rule 26 within 2 weeks of this publication, as set out in Rules 17(3) and 28(2). The SRT has a maximum of 4 weeks from the date of filing of the review application to hear and determine the review. In accordance with Section 9(2) of the Fair Administrative Action Act, 2015, this internal review mechanism must be exhausted before approaching the High Court, save in cases of genuine constitutional urgency under Article 22.</w:t>
      </w:r>
    </w:p>
    <w:p w:rsidR="009241CA" w:rsidRDefault="009241CA" w:rsidP="009241CA">
      <w:pPr>
        <w:pStyle w:val="ListParagraph"/>
        <w:numPr>
          <w:ilvl w:val="0"/>
          <w:numId w:val="1"/>
        </w:numPr>
        <w:spacing w:before="80" w:after="80"/>
      </w:pPr>
      <w:r>
        <w:t>Exhaustion Note: Where the SRT sets aside a primary order and the available timeline does not permit remitting under Rule 29, the SRT will issue a Certificate of Constitutional Infringement and a formal statement of options, permitting immediate escalation to the High Court under Article 22 or Article 165(6).</w:t>
      </w:r>
    </w:p>
    <w:p w:rsidR="009241CA" w:rsidRDefault="009241CA" w:rsidP="009241CA">
      <w:pPr>
        <w:spacing w:before="80" w:after="80"/>
      </w:pPr>
    </w:p>
    <w:p w:rsidR="009241CA" w:rsidRDefault="009241CA" w:rsidP="009241CA">
      <w:pPr>
        <w:spacing w:before="80" w:after="80"/>
      </w:pPr>
      <w:r>
        <w:t>All internal filings must be processed through the Institution’s electronic portal. Secretarial communications should be addressed to the Secretariat of Aluochier Dispute Resolution, P O Box 436-40404, Rongo, Kenya (info@aluochier.co.ke).</w:t>
      </w:r>
    </w:p>
    <w:p w:rsidR="009241CA" w:rsidRDefault="009241CA" w:rsidP="009241CA"/>
    <w:p w:rsidR="00310254" w:rsidRDefault="009241CA"/>
    <w:sectPr w:rsidR="0031025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50FD0"/>
    <w:multiLevelType w:val="hybridMultilevel"/>
    <w:tmpl w:val="871232B0"/>
    <w:lvl w:ilvl="0" w:tplc="0658C3F2">
      <w:start w:val="1"/>
      <w:numFmt w:val="bullet"/>
      <w:lvlText w:val="—"/>
      <w:lvlJc w:val="left"/>
      <w:pPr>
        <w:ind w:left="720" w:hanging="360"/>
      </w:pPr>
    </w:lvl>
    <w:lvl w:ilvl="1" w:tplc="8EB09B5C">
      <w:start w:val="1"/>
      <w:numFmt w:val="bullet"/>
      <w:lvlText w:val="◦"/>
      <w:lvlJc w:val="left"/>
      <w:pPr>
        <w:ind w:left="1440" w:hanging="360"/>
      </w:pPr>
    </w:lvl>
    <w:lvl w:ilvl="2" w:tplc="BD1A0AFA">
      <w:numFmt w:val="decimal"/>
      <w:lvlText w:val=""/>
      <w:lvlJc w:val="left"/>
    </w:lvl>
    <w:lvl w:ilvl="3" w:tplc="6ED0BB36">
      <w:numFmt w:val="decimal"/>
      <w:lvlText w:val=""/>
      <w:lvlJc w:val="left"/>
    </w:lvl>
    <w:lvl w:ilvl="4" w:tplc="75269F74">
      <w:numFmt w:val="decimal"/>
      <w:lvlText w:val=""/>
      <w:lvlJc w:val="left"/>
    </w:lvl>
    <w:lvl w:ilvl="5" w:tplc="B3322D2E">
      <w:numFmt w:val="decimal"/>
      <w:lvlText w:val=""/>
      <w:lvlJc w:val="left"/>
    </w:lvl>
    <w:lvl w:ilvl="6" w:tplc="CD90AB72">
      <w:numFmt w:val="decimal"/>
      <w:lvlText w:val=""/>
      <w:lvlJc w:val="left"/>
    </w:lvl>
    <w:lvl w:ilvl="7" w:tplc="C3C292C6">
      <w:numFmt w:val="decimal"/>
      <w:lvlText w:val=""/>
      <w:lvlJc w:val="left"/>
    </w:lvl>
    <w:lvl w:ilvl="8" w:tplc="2D64A5A2">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CA"/>
    <w:rsid w:val="006E56DA"/>
    <w:rsid w:val="00827B95"/>
    <w:rsid w:val="009241CA"/>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0B639-6E34-4159-9E2D-0902CFD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CA"/>
    <w:pPr>
      <w:spacing w:after="0" w:line="240" w:lineRule="auto"/>
    </w:pPr>
    <w:rPr>
      <w:rFonts w:ascii="Arial" w:eastAsia="Arial" w:hAnsi="Arial" w:cs="Arial"/>
    </w:rPr>
  </w:style>
  <w:style w:type="paragraph" w:styleId="Heading1">
    <w:name w:val="heading 1"/>
    <w:link w:val="Heading1Char"/>
    <w:qFormat/>
    <w:rsid w:val="009241CA"/>
    <w:pPr>
      <w:spacing w:before="480" w:after="200" w:line="240" w:lineRule="auto"/>
      <w:outlineLvl w:val="0"/>
    </w:pPr>
    <w:rPr>
      <w:rFonts w:ascii="Arial" w:eastAsia="Arial" w:hAnsi="Arial" w:cs="Arial"/>
      <w:b/>
      <w:bCs/>
      <w:caps/>
      <w:color w:val="1F386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1CA"/>
    <w:rPr>
      <w:rFonts w:ascii="Arial" w:eastAsia="Arial" w:hAnsi="Arial" w:cs="Arial"/>
      <w:b/>
      <w:bCs/>
      <w:caps/>
      <w:color w:val="1F3864"/>
      <w:sz w:val="28"/>
      <w:szCs w:val="28"/>
    </w:rPr>
  </w:style>
  <w:style w:type="paragraph" w:styleId="ListParagraph">
    <w:name w:val="List Paragraph"/>
    <w:qFormat/>
    <w:rsid w:val="009241CA"/>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2026-05-29T14:55:00Z</dcterms:created>
  <dcterms:modified xsi:type="dcterms:W3CDTF">2026-05-29T14:56:00Z</dcterms:modified>
</cp:coreProperties>
</file>